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49C" w:rsidRDefault="002F2118" w:rsidP="002F2118">
      <w:pPr>
        <w:jc w:val="center"/>
        <w:rPr>
          <w:sz w:val="40"/>
          <w:szCs w:val="40"/>
        </w:rPr>
      </w:pPr>
      <w:r w:rsidRPr="002F2118">
        <w:rPr>
          <w:sz w:val="40"/>
          <w:szCs w:val="40"/>
        </w:rPr>
        <w:t>XII táblás tör</w:t>
      </w:r>
      <w:r>
        <w:rPr>
          <w:sz w:val="40"/>
          <w:szCs w:val="40"/>
        </w:rPr>
        <w:t>v</w:t>
      </w:r>
      <w:r w:rsidRPr="002F2118">
        <w:rPr>
          <w:sz w:val="40"/>
          <w:szCs w:val="40"/>
        </w:rPr>
        <w:t>ények</w:t>
      </w:r>
    </w:p>
    <w:p w:rsidR="00AB2B0A" w:rsidRDefault="00AB2B0A" w:rsidP="002F2118">
      <w:pPr>
        <w:jc w:val="center"/>
        <w:rPr>
          <w:sz w:val="40"/>
          <w:szCs w:val="40"/>
        </w:rPr>
      </w:pPr>
    </w:p>
    <w:p w:rsidR="000A4D3F" w:rsidRDefault="00AB2B0A" w:rsidP="00AB2B0A">
      <w:pPr>
        <w:rPr>
          <w:sz w:val="40"/>
          <w:szCs w:val="40"/>
        </w:rPr>
      </w:pPr>
      <w:r>
        <w:rPr>
          <w:noProof/>
          <w:lang w:eastAsia="hu-HU"/>
        </w:rPr>
        <w:drawing>
          <wp:inline distT="0" distB="0" distL="0" distR="0">
            <wp:extent cx="1401105" cy="2060448"/>
            <wp:effectExtent l="19050" t="0" r="8595" b="0"/>
            <wp:docPr id="1" name="Kép 1" descr="Lictor fasces-szel a kezéb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ctor fasces-szel a kezében.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1105" cy="20604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40"/>
          <w:szCs w:val="40"/>
        </w:rPr>
        <w:t xml:space="preserve">                   </w:t>
      </w:r>
      <w:r>
        <w:rPr>
          <w:noProof/>
          <w:lang w:eastAsia="hu-HU"/>
        </w:rPr>
        <w:drawing>
          <wp:inline distT="0" distB="0" distL="0" distR="0">
            <wp:extent cx="1133475" cy="2857500"/>
            <wp:effectExtent l="19050" t="0" r="9525" b="0"/>
            <wp:docPr id="4" name="Kép 4" descr="Li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cto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4D3F" w:rsidRPr="000A4D3F" w:rsidRDefault="000A4D3F" w:rsidP="00AB2B0A">
      <w:pPr>
        <w:rPr>
          <w:sz w:val="24"/>
          <w:szCs w:val="24"/>
        </w:rPr>
      </w:pPr>
      <w:r>
        <w:rPr>
          <w:sz w:val="24"/>
          <w:szCs w:val="24"/>
        </w:rPr>
        <w:t>Cél: a plebejusok egyenlők szerettek volna lenni a patríciusokkal.</w:t>
      </w:r>
    </w:p>
    <w:p w:rsidR="000A4D3F" w:rsidRDefault="000A4D3F" w:rsidP="00AB2B0A">
      <w:pPr>
        <w:rPr>
          <w:sz w:val="24"/>
          <w:szCs w:val="24"/>
        </w:rPr>
      </w:pPr>
      <w:r>
        <w:rPr>
          <w:sz w:val="24"/>
          <w:szCs w:val="24"/>
        </w:rPr>
        <w:t>Ezek már jórészt nem tettek különbséget patrícius és plebejus között.</w:t>
      </w:r>
    </w:p>
    <w:p w:rsidR="000A4D3F" w:rsidRPr="000A4D3F" w:rsidRDefault="000A4D3F" w:rsidP="00AB2B0A">
      <w:pPr>
        <w:rPr>
          <w:sz w:val="24"/>
          <w:szCs w:val="24"/>
        </w:rPr>
      </w:pPr>
      <w:r w:rsidRPr="000A4D3F">
        <w:rPr>
          <w:rStyle w:val="apple-style-span"/>
          <w:rFonts w:ascii="Arial" w:hAnsi="Arial" w:cs="Arial"/>
          <w:color w:val="000000"/>
          <w:sz w:val="24"/>
          <w:szCs w:val="24"/>
        </w:rPr>
        <w:t>A törvényekben a korábbi</w:t>
      </w:r>
      <w:r w:rsidRPr="000A4D3F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  <w:r w:rsidRPr="000A4D3F">
        <w:rPr>
          <w:rStyle w:val="apple-style-span"/>
          <w:rFonts w:ascii="Arial" w:hAnsi="Arial" w:cs="Arial"/>
          <w:color w:val="000000"/>
          <w:sz w:val="24"/>
          <w:szCs w:val="24"/>
        </w:rPr>
        <w:t>görög</w:t>
      </w:r>
      <w:r w:rsidRPr="000A4D3F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  <w:r w:rsidRPr="000A4D3F">
        <w:rPr>
          <w:rStyle w:val="apple-style-span"/>
          <w:rFonts w:ascii="Arial" w:hAnsi="Arial" w:cs="Arial"/>
          <w:color w:val="000000"/>
          <w:sz w:val="24"/>
          <w:szCs w:val="24"/>
        </w:rPr>
        <w:t>törvények és ókori keleti jogforrásoknak a hatása egyértelműen látható (ezt az erre vonatkozó korabeli római hagyomány is tudni véli). Elvük egy olyan időszakra mutat, amikor az antik Róma határa a városfal volt, a Tiberisen</w:t>
      </w:r>
      <w:r w:rsidRPr="000A4D3F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  <w:r w:rsidRPr="000A4D3F">
        <w:rPr>
          <w:rStyle w:val="apple-style-span"/>
          <w:rFonts w:ascii="Arial" w:hAnsi="Arial" w:cs="Arial"/>
          <w:color w:val="000000"/>
          <w:sz w:val="24"/>
          <w:szCs w:val="24"/>
        </w:rPr>
        <w:t>túli területek már külföldnek számítottak. A törvények közt sok vallási jellegű</w:t>
      </w:r>
      <w:r w:rsidRPr="000A4D3F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  <w:r w:rsidRPr="000A4D3F">
        <w:rPr>
          <w:rStyle w:val="apple-style-span"/>
          <w:rFonts w:ascii="Arial" w:hAnsi="Arial" w:cs="Arial"/>
          <w:color w:val="000000"/>
          <w:sz w:val="24"/>
          <w:szCs w:val="24"/>
        </w:rPr>
        <w:t>szankció</w:t>
      </w:r>
      <w:r w:rsidRPr="000A4D3F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  <w:r w:rsidRPr="000A4D3F">
        <w:rPr>
          <w:rStyle w:val="apple-style-span"/>
          <w:rFonts w:ascii="Arial" w:hAnsi="Arial" w:cs="Arial"/>
          <w:color w:val="000000"/>
          <w:sz w:val="24"/>
          <w:szCs w:val="24"/>
        </w:rPr>
        <w:t>található (például véletlen gyilkosság esetén egy kos feláldozása), ami arra utal, hogy a jog abban az időben még nem különült el élesen a vallástól. A törvények a „tehetősebbek" rendjét igyekezett biztosítani a „szegények" (plebejusok) felett, de ugyanakkor nagy rugalmasságról is tanúskodtak, hiszen számoltak a változás lehetőségével is; kimondták, hogy az a határozat a törvényerejű, amelyet a nép a legkésőbb hozott meg.</w:t>
      </w:r>
    </w:p>
    <w:sectPr w:rsidR="000A4D3F" w:rsidRPr="000A4D3F" w:rsidSect="00DD44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F2118"/>
    <w:rsid w:val="000A4D3F"/>
    <w:rsid w:val="002F2118"/>
    <w:rsid w:val="00AB2B0A"/>
    <w:rsid w:val="00DD4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D449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AB2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B2B0A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Bekezdsalapbettpusa"/>
    <w:rsid w:val="000A4D3F"/>
  </w:style>
  <w:style w:type="character" w:customStyle="1" w:styleId="apple-converted-space">
    <w:name w:val="apple-converted-space"/>
    <w:basedOn w:val="Bekezdsalapbettpusa"/>
    <w:rsid w:val="000A4D3F"/>
  </w:style>
  <w:style w:type="character" w:styleId="Hiperhivatkozs">
    <w:name w:val="Hyperlink"/>
    <w:basedOn w:val="Bekezdsalapbettpusa"/>
    <w:uiPriority w:val="99"/>
    <w:semiHidden/>
    <w:unhideWhenUsed/>
    <w:rsid w:val="000A4D3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120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Balázs</dc:creator>
  <cp:lastModifiedBy>Balázs</cp:lastModifiedBy>
  <cp:revision>1</cp:revision>
  <dcterms:created xsi:type="dcterms:W3CDTF">2011-05-07T08:55:00Z</dcterms:created>
  <dcterms:modified xsi:type="dcterms:W3CDTF">2011-05-07T09:22:00Z</dcterms:modified>
</cp:coreProperties>
</file>